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>
      <w:pPr>
        <w:pStyle w:val="Titoloprincipale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>Criteri di compilazione della Griglia di rilevazione</w:t>
      </w:r>
    </w:p>
    <w:p>
      <w:pPr>
        <w:pStyle w:val="Normal"/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La rilevazione ha a oggetto lo stato di pubblicazione dei dati nella sezione «</w:t>
      </w:r>
      <w:r>
        <w:rPr>
          <w:rFonts w:ascii="Garamond" w:hAnsi="Garamond"/>
          <w:i/>
        </w:rPr>
        <w:t>Amministrazione  trasparente</w:t>
      </w:r>
      <w:r>
        <w:rPr>
          <w:rFonts w:ascii="Garamond" w:hAnsi="Garamond"/>
        </w:rPr>
        <w:t>» al 31 marzo 2018. Nella Griglia di rilevazione sono inseriti i risultati della rilevazione effettuata dagli OIV, o dagli altri organismi con funzioni analoghe, al 31 marzo 2018.</w:t>
      </w:r>
    </w:p>
    <w:p>
      <w:pPr>
        <w:pStyle w:val="Normal"/>
        <w:spacing w:lineRule="auto" w:line="360" w:before="240" w:after="0"/>
        <w:rPr>
          <w:rFonts w:ascii="Garamond" w:hAnsi="Garamond"/>
        </w:rPr>
      </w:pPr>
      <w:r>
        <w:rPr>
          <w:rFonts w:ascii="Garamond" w:hAnsi="Garamond"/>
        </w:rPr>
        <w:t xml:space="preserve">La Griglia di rilevazione è composta da 2 fogli. </w:t>
      </w:r>
    </w:p>
    <w:p>
      <w:pPr>
        <w:pStyle w:val="Normal"/>
        <w:spacing w:lineRule="auto" w:line="360" w:before="240" w:after="0"/>
        <w:rPr>
          <w:rFonts w:ascii="Garamond" w:hAnsi="Garamond"/>
        </w:rPr>
      </w:pPr>
      <w:r>
        <w:rPr>
          <w:rFonts w:ascii="Garamond" w:hAnsi="Garamond"/>
        </w:rPr>
        <w:t>Gli OIV, o altri organismi con funzioni analoghe, sono tenuti a compilare il foglio n. 1 denominato «</w:t>
      </w:r>
      <w:r>
        <w:rPr>
          <w:rFonts w:ascii="Garamond" w:hAnsi="Garamond"/>
          <w:i/>
        </w:rPr>
        <w:t>Pubblicazione e qualità dati</w:t>
      </w:r>
      <w:r>
        <w:rPr>
          <w:rFonts w:ascii="Garamond" w:hAnsi="Garamond"/>
        </w:rPr>
        <w:t xml:space="preserve">». </w:t>
      </w:r>
    </w:p>
    <w:p>
      <w:pPr>
        <w:pStyle w:val="Normal"/>
        <w:spacing w:lineRule="auto" w:line="360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>
        <w:rPr>
          <w:rFonts w:ascii="Garamond" w:hAnsi="Garamond"/>
          <w:i/>
        </w:rPr>
        <w:t>Uffici periferici</w:t>
      </w:r>
      <w:r>
        <w:rPr>
          <w:rFonts w:ascii="Garamond" w:hAnsi="Garamond"/>
        </w:rPr>
        <w:t xml:space="preserve">», è compilato </w:t>
      </w:r>
      <w:r>
        <w:rPr>
          <w:rFonts w:ascii="Garamond" w:hAnsi="Garamond"/>
          <w:b/>
        </w:rPr>
        <w:t>solamente</w:t>
      </w:r>
      <w:r>
        <w:rPr>
          <w:rFonts w:ascii="Garamond" w:hAnsi="Garamond"/>
        </w:rPr>
        <w:t xml:space="preserve"> dagli OIV, o dagli altri organismi con funzioni analoghe, dei Ministeri e degli Enti pubblici nazionali con uffici periferici.</w:t>
      </w:r>
    </w:p>
    <w:p>
      <w:pPr>
        <w:pStyle w:val="ListParagraph"/>
        <w:spacing w:lineRule="auto" w:line="360"/>
        <w:ind w:left="0" w:hanging="0"/>
        <w:rPr>
          <w:rFonts w:ascii="Garamond" w:hAnsi="Garamond"/>
        </w:rPr>
      </w:pPr>
      <w:r>
        <w:rPr>
          <w:rFonts w:ascii="Garamond" w:hAnsi="Garamond"/>
        </w:rPr>
        <w:t>Per ogni dato inserito nella Griglia di rilevazione deve essere verificata l’avvenuta pubblicazione dei dati e delle informazioni prevista dalla normativa, con l’indicazione di un valore compreso, a seconda dei casi, fra 0 e 2 oppure fra 0 e 3, che fornisce la misura del grado di adempimento da parte dell’amministrazione/ente soggetto a controllo, come di seguito specificato.</w:t>
      </w:r>
    </w:p>
    <w:p>
      <w:pPr>
        <w:pStyle w:val="Normal"/>
        <w:spacing w:lineRule="auto" w:line="360"/>
        <w:rPr>
          <w:rFonts w:ascii="Garamond" w:hAnsi="Garamond"/>
        </w:rPr>
      </w:pPr>
      <w:r>
        <w:rPr>
          <w:rFonts w:ascii="Garamond" w:hAnsi="Garamond"/>
        </w:rPr>
        <w:t>Qualora uno o più obblighi oggetto di verifica non siano applicabili, gli OIV, o le strutture analoghe, inseriscono il valore “</w:t>
      </w:r>
      <w:r>
        <w:rPr>
          <w:rFonts w:ascii="Garamond" w:hAnsi="Garamond"/>
          <w:u w:val="single"/>
        </w:rPr>
        <w:t>n/a</w:t>
      </w:r>
      <w:r>
        <w:rPr>
          <w:rFonts w:ascii="Garamond" w:hAnsi="Garamond"/>
        </w:rPr>
        <w:t xml:space="preserve">”. </w:t>
      </w:r>
    </w:p>
    <w:p>
      <w:pPr>
        <w:pStyle w:val="Normal"/>
        <w:spacing w:lineRule="auto" w:line="360"/>
        <w:rPr>
          <w:rFonts w:ascii="Garamond" w:hAnsi="Garamond"/>
        </w:rPr>
      </w:pPr>
      <w:r>
        <w:rPr>
          <w:rFonts w:ascii="Garamond" w:hAnsi="Garamond"/>
          <w:u w:val="single"/>
        </w:rPr>
        <w:t>Non sono ammessi campi vuoti</w:t>
      </w:r>
      <w:r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>
      <w:pPr>
        <w:pStyle w:val="Normal"/>
        <w:spacing w:lineRule="auto" w:line="360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Foglio n. 1 – Pubblicazione e qualità dati</w:t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Normal"/>
        <w:spacing w:lineRule="auto" w:line="36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PUBBLICAZIONE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Il dato è pubblicato nella sezione “Amministrazione trasparente”/”Società trasparente” del sito istituzionale?</w:t>
      </w:r>
    </w:p>
    <w:p>
      <w:pPr>
        <w:pStyle w:val="ListParagraph"/>
        <w:tabs>
          <w:tab w:val="left" w:pos="-142" w:leader="none"/>
        </w:tabs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2:</w:t>
      </w:r>
    </w:p>
    <w:p>
      <w:pPr>
        <w:pStyle w:val="ListParagraph"/>
        <w:widowControl/>
        <w:numPr>
          <w:ilvl w:val="0"/>
          <w:numId w:val="1"/>
        </w:numPr>
        <w:tabs>
          <w:tab w:val="left" w:pos="-142" w:leader="none"/>
        </w:tabs>
        <w:suppressAutoHyphens w:val="false"/>
        <w:spacing w:lineRule="auto" w:line="360" w:before="0" w:after="20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il dato non risulta pubblicato;</w:t>
      </w:r>
    </w:p>
    <w:p>
      <w:pPr>
        <w:pStyle w:val="ListParagraph"/>
        <w:widowControl/>
        <w:numPr>
          <w:ilvl w:val="0"/>
          <w:numId w:val="1"/>
        </w:numPr>
        <w:tabs>
          <w:tab w:val="left" w:pos="-142" w:leader="none"/>
        </w:tabs>
        <w:suppressAutoHyphens w:val="false"/>
        <w:spacing w:lineRule="auto" w:line="360" w:before="0" w:after="200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il dato risulta pubblicato in una sezione diversa da quella denominata «</w:t>
      </w:r>
      <w:r>
        <w:rPr>
          <w:rFonts w:ascii="Garamond" w:hAnsi="Garamond"/>
          <w:i/>
        </w:rPr>
        <w:t>Amministrazione  trasparente</w:t>
      </w:r>
      <w:r>
        <w:rPr>
          <w:rFonts w:ascii="Garamond" w:hAnsi="Garamond"/>
        </w:rPr>
        <w:t>»;</w:t>
      </w:r>
    </w:p>
    <w:p>
      <w:pPr>
        <w:pStyle w:val="ListParagraph"/>
        <w:widowControl/>
        <w:numPr>
          <w:ilvl w:val="0"/>
          <w:numId w:val="1"/>
        </w:numPr>
        <w:tabs>
          <w:tab w:val="left" w:pos="-142" w:leader="none"/>
        </w:tabs>
        <w:suppressAutoHyphens w:val="false"/>
        <w:spacing w:lineRule="auto" w:line="360" w:before="0" w:after="0"/>
        <w:ind w:left="0" w:firstLine="284"/>
        <w:contextualSpacing/>
        <w:rPr>
          <w:rFonts w:ascii="Garamond" w:hAnsi="Garamond"/>
        </w:rPr>
      </w:pPr>
      <w:r>
        <w:rPr>
          <w:rFonts w:ascii="Garamond" w:hAnsi="Garamond"/>
        </w:rPr>
        <w:t>- il dato risulta pubblicato nella sezione «</w:t>
      </w:r>
      <w:r>
        <w:rPr>
          <w:rFonts w:ascii="Garamond" w:hAnsi="Garamond"/>
          <w:i/>
        </w:rPr>
        <w:t>Amministrazione  trasparente</w:t>
      </w:r>
      <w:r>
        <w:rPr>
          <w:rFonts w:ascii="Garamond" w:hAnsi="Garamond"/>
        </w:rPr>
        <w:t>».</w:t>
      </w:r>
    </w:p>
    <w:p>
      <w:pPr>
        <w:pStyle w:val="Normal"/>
        <w:tabs>
          <w:tab w:val="left" w:pos="0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Indicare nel campo “Note” l’eventuale area o sezione, diversa da quella denominata «</w:t>
      </w:r>
      <w:r>
        <w:rPr>
          <w:rFonts w:ascii="Garamond" w:hAnsi="Garamond"/>
          <w:i/>
        </w:rPr>
        <w:t>Amministrazione  trasparente</w:t>
      </w:r>
      <w:r>
        <w:rPr>
          <w:rFonts w:ascii="Garamond" w:hAnsi="Garamond"/>
        </w:rPr>
        <w:t>» o «</w:t>
      </w:r>
      <w:r>
        <w:rPr>
          <w:rFonts w:ascii="Garamond" w:hAnsi="Garamond"/>
          <w:i/>
        </w:rPr>
        <w:t>Società trasparente</w:t>
      </w:r>
      <w:r>
        <w:rPr>
          <w:rFonts w:ascii="Garamond" w:hAnsi="Garamond"/>
        </w:rPr>
        <w:t>», in cui il dato risulta pubblicato e se è inserito un link alla sezione «</w:t>
      </w:r>
      <w:r>
        <w:rPr>
          <w:rFonts w:ascii="Garamond" w:hAnsi="Garamond"/>
          <w:i/>
        </w:rPr>
        <w:t>Amministrazione  trasparente</w:t>
      </w:r>
      <w:r>
        <w:rPr>
          <w:rFonts w:ascii="Garamond" w:hAnsi="Garamond"/>
        </w:rPr>
        <w:t>» o «</w:t>
      </w:r>
      <w:r>
        <w:rPr>
          <w:rFonts w:ascii="Garamond" w:hAnsi="Garamond"/>
          <w:i/>
        </w:rPr>
        <w:t>Società trasparente</w:t>
      </w:r>
      <w:r>
        <w:rPr>
          <w:rFonts w:ascii="Garamond" w:hAnsi="Garamond"/>
        </w:rPr>
        <w:t>».</w:t>
      </w:r>
    </w:p>
    <w:p>
      <w:pPr>
        <w:pStyle w:val="Normal"/>
        <w:spacing w:before="0" w:after="0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auto" w:line="36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COMPLETEZZA DEL CONTENUTO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Il dato pubblicato riporta tutte le informazioni richieste dalle previsioni normative?</w:t>
      </w:r>
    </w:p>
    <w:p>
      <w:pPr>
        <w:pStyle w:val="ListParagraph"/>
        <w:tabs>
          <w:tab w:val="left" w:pos="-142" w:leader="none"/>
        </w:tabs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3:</w:t>
      </w:r>
    </w:p>
    <w:p>
      <w:pPr>
        <w:pStyle w:val="ListParagraph"/>
        <w:widowControl/>
        <w:numPr>
          <w:ilvl w:val="0"/>
          <w:numId w:val="2"/>
        </w:numPr>
        <w:tabs>
          <w:tab w:val="left" w:pos="-142" w:leader="none"/>
        </w:tabs>
        <w:suppressAutoHyphens w:val="false"/>
        <w:spacing w:lineRule="auto" w:line="360" w:before="0" w:after="20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il dato non risulta pubblicato;</w:t>
      </w:r>
    </w:p>
    <w:p>
      <w:pPr>
        <w:pStyle w:val="ListParagraph"/>
        <w:widowControl/>
        <w:numPr>
          <w:ilvl w:val="0"/>
          <w:numId w:val="2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le informazioni richieste risultano pubblicate in una percentuale compresa fra l’1 e il 33%;</w:t>
      </w:r>
    </w:p>
    <w:p>
      <w:pPr>
        <w:pStyle w:val="ListParagraph"/>
        <w:widowControl/>
        <w:numPr>
          <w:ilvl w:val="0"/>
          <w:numId w:val="2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le informazioni richieste risultano pubblicate in una percentuale compresa fra il 34 e il 66%;</w:t>
      </w:r>
    </w:p>
    <w:p>
      <w:pPr>
        <w:pStyle w:val="ListParagraph"/>
        <w:widowControl/>
        <w:numPr>
          <w:ilvl w:val="0"/>
          <w:numId w:val="2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- </w:t>
      </w:r>
      <w:r>
        <w:rPr>
          <w:rFonts w:ascii="Garamond" w:hAnsi="Garamond"/>
        </w:rPr>
        <w:t>le informazioni richieste risultano pubblicate in una percentuale compresa fra il 67 e il 100%.</w:t>
      </w:r>
    </w:p>
    <w:p>
      <w:pPr>
        <w:pStyle w:val="ListParagraph"/>
        <w:spacing w:lineRule="auto" w:line="360"/>
        <w:ind w:left="720" w:hanging="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COMPLETEZZA RISPETTO AGLI UFFICI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Il dato pubblicato è riferito a tutti gli uffici?</w:t>
      </w:r>
    </w:p>
    <w:p>
      <w:pPr>
        <w:pStyle w:val="Normal"/>
        <w:tabs>
          <w:tab w:val="left" w:pos="-142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3:</w:t>
      </w:r>
    </w:p>
    <w:p>
      <w:pPr>
        <w:pStyle w:val="ListParagraph"/>
        <w:widowControl/>
        <w:numPr>
          <w:ilvl w:val="0"/>
          <w:numId w:val="5"/>
        </w:numPr>
        <w:tabs>
          <w:tab w:val="left" w:pos="-142" w:leader="none"/>
        </w:tabs>
        <w:suppressAutoHyphens w:val="false"/>
        <w:spacing w:lineRule="auto" w:line="360" w:before="0" w:after="20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non è possibile individuare se il dato pubblicato si riferisce ad uno o più uffici;</w:t>
      </w:r>
    </w:p>
    <w:p>
      <w:pPr>
        <w:pStyle w:val="ListParagraph"/>
        <w:widowControl/>
        <w:numPr>
          <w:ilvl w:val="0"/>
          <w:numId w:val="5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dato fa riferimento ad una percentuale di uffici compresa fra l’1 e il 33%;</w:t>
      </w:r>
    </w:p>
    <w:p>
      <w:pPr>
        <w:pStyle w:val="ListParagraph"/>
        <w:widowControl/>
        <w:numPr>
          <w:ilvl w:val="0"/>
          <w:numId w:val="5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dato fa riferimento ad una percentuale di uffici compresa fra il 34 e il 66%;</w:t>
      </w:r>
    </w:p>
    <w:p>
      <w:pPr>
        <w:pStyle w:val="ListParagraph"/>
        <w:widowControl/>
        <w:numPr>
          <w:ilvl w:val="0"/>
          <w:numId w:val="5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- </w:t>
      </w:r>
      <w:r>
        <w:rPr>
          <w:rFonts w:ascii="Garamond" w:hAnsi="Garamond"/>
        </w:rPr>
        <w:t>il dato fa riferimento ad una percentuale di uffici compresa fra il 67 e il 100%.</w:t>
      </w:r>
    </w:p>
    <w:p>
      <w:pPr>
        <w:pStyle w:val="Normal"/>
        <w:widowControl/>
        <w:tabs>
          <w:tab w:val="left" w:pos="-142" w:leader="none"/>
        </w:tabs>
        <w:suppressAutoHyphens w:val="false"/>
        <w:spacing w:lineRule="auto" w:line="360" w:before="0" w:after="0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auto" w:line="36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AGGIORNAMENTO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La pagina web e i documenti pubblicati risultano aggiornati?</w:t>
      </w:r>
    </w:p>
    <w:p>
      <w:pPr>
        <w:pStyle w:val="ListParagraph"/>
        <w:tabs>
          <w:tab w:val="left" w:pos="-142" w:leader="none"/>
        </w:tabs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 xml:space="preserve">L’aggiornamento deve essere valutato con riferimento alla specifica cadenza di aggiornamento prevista dalle norme o dal PTPC- Sezione Trasparenza- </w:t>
      </w:r>
      <w:bookmarkStart w:id="0" w:name="_GoBack"/>
      <w:bookmarkEnd w:id="0"/>
      <w:r>
        <w:rPr>
          <w:rFonts w:ascii="Garamond" w:hAnsi="Garamond"/>
        </w:rPr>
        <w:t xml:space="preserve">per ogni singolo obbligo. </w:t>
      </w:r>
    </w:p>
    <w:p>
      <w:pPr>
        <w:pStyle w:val="ListParagraph"/>
        <w:tabs>
          <w:tab w:val="left" w:pos="-142" w:leader="none"/>
        </w:tabs>
        <w:spacing w:lineRule="auto" w:line="360" w:before="0" w:after="0"/>
        <w:ind w:left="0" w:hanging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3:</w:t>
      </w:r>
    </w:p>
    <w:p>
      <w:pPr>
        <w:pStyle w:val="ListParagraph"/>
        <w:widowControl/>
        <w:numPr>
          <w:ilvl w:val="0"/>
          <w:numId w:val="3"/>
        </w:numPr>
        <w:tabs>
          <w:tab w:val="left" w:pos="-142" w:leader="none"/>
        </w:tabs>
        <w:suppressAutoHyphens w:val="false"/>
        <w:spacing w:lineRule="auto" w:line="360" w:before="0" w:after="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non risultano aggiornati né la pagina web né i dati in essa contenuti o non è possibile individuare la data di aggiornamento né della pagina web né dei dati in essa contenuti;</w:t>
      </w:r>
    </w:p>
    <w:p>
      <w:pPr>
        <w:pStyle w:val="ListParagraph"/>
        <w:widowControl/>
        <w:numPr>
          <w:ilvl w:val="0"/>
          <w:numId w:val="3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contenuto dei dati pubblicati risulta aggiornato per una percentuale compresa fra l’1 e il 33%;</w:t>
      </w:r>
    </w:p>
    <w:p>
      <w:pPr>
        <w:pStyle w:val="ListParagraph"/>
        <w:widowControl/>
        <w:numPr>
          <w:ilvl w:val="0"/>
          <w:numId w:val="3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contenuto dei dati pubblicati risulta aggiornato per una percentuale compresa fra il 33 e il 66%;</w:t>
      </w:r>
    </w:p>
    <w:p>
      <w:pPr>
        <w:pStyle w:val="ListParagraph"/>
        <w:widowControl/>
        <w:numPr>
          <w:ilvl w:val="0"/>
          <w:numId w:val="3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- </w:t>
      </w:r>
      <w:r>
        <w:rPr>
          <w:rFonts w:ascii="Garamond" w:hAnsi="Garamond"/>
        </w:rPr>
        <w:t>il contenuto dei dati pubblicati risulta aggiornato per una percentuale compresa fra il 67 e il 100%.</w:t>
      </w:r>
    </w:p>
    <w:p>
      <w:pPr>
        <w:pStyle w:val="ListParagraph"/>
        <w:spacing w:lineRule="auto" w:line="360"/>
        <w:ind w:left="720" w:hanging="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ListParagraph"/>
        <w:spacing w:lineRule="auto" w:line="360"/>
        <w:ind w:left="720" w:hanging="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APERTURA FORMATO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Il formato di pubblicazione è aperto o elaborabile?</w:t>
      </w:r>
    </w:p>
    <w:p>
      <w:pPr>
        <w:pStyle w:val="Normal"/>
        <w:tabs>
          <w:tab w:val="left" w:pos="-142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3:</w:t>
      </w:r>
    </w:p>
    <w:p>
      <w:pPr>
        <w:pStyle w:val="ListParagraph"/>
        <w:widowControl/>
        <w:numPr>
          <w:ilvl w:val="0"/>
          <w:numId w:val="4"/>
        </w:numPr>
        <w:tabs>
          <w:tab w:val="left" w:pos="-142" w:leader="none"/>
        </w:tabs>
        <w:suppressAutoHyphens w:val="false"/>
        <w:spacing w:lineRule="auto" w:line="360" w:before="0" w:after="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il formato di pubblicazione non è aperto e non è elaborabile (es. formato immagine jpeg, tif, pdf scannerizzato);</w:t>
      </w:r>
    </w:p>
    <w:p>
      <w:pPr>
        <w:pStyle w:val="ListParagraph"/>
        <w:widowControl/>
        <w:numPr>
          <w:ilvl w:val="0"/>
          <w:numId w:val="4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formato di pubblicazione è aperto (es. ods, csv, pdf elaborabile) o almeno elaborabile (es. xls, html) per una percentuale di documenti compresi fra l’1 e il 33%;</w:t>
      </w:r>
    </w:p>
    <w:p>
      <w:pPr>
        <w:pStyle w:val="ListParagraph"/>
        <w:widowControl/>
        <w:numPr>
          <w:ilvl w:val="0"/>
          <w:numId w:val="4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formato di pubblicazione è aperto (es. ods, csv, pdf elaborabile) o almeno elaborabile (es. xls, html) per una percentuale di documenti compresi fra il 34 e il 66%;</w:t>
      </w:r>
    </w:p>
    <w:p>
      <w:pPr>
        <w:pStyle w:val="ListParagraph"/>
        <w:widowControl/>
        <w:numPr>
          <w:ilvl w:val="0"/>
          <w:numId w:val="4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- </w:t>
      </w:r>
      <w:r>
        <w:rPr>
          <w:rFonts w:ascii="Garamond" w:hAnsi="Garamond"/>
        </w:rPr>
        <w:t>il formato di pubblicazione è aperto (es. ods, csv, pdf elaborabile) o almeno elaborabile (es. xls, html) per una percentuale di documenti compresi fra il 67 e il 100%.</w:t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 xml:space="preserve">Foglio n. 2 – Uffici periferici </w:t>
      </w:r>
    </w:p>
    <w:p>
      <w:pPr>
        <w:pStyle w:val="Normal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</w:r>
    </w:p>
    <w:p>
      <w:pPr>
        <w:pStyle w:val="Normal"/>
        <w:widowControl/>
        <w:tabs>
          <w:tab w:val="left" w:pos="-142" w:leader="none"/>
        </w:tabs>
        <w:suppressAutoHyphens w:val="false"/>
        <w:spacing w:lineRule="auto" w:line="360" w:before="0" w:after="200"/>
        <w:jc w:val="center"/>
        <w:rPr>
          <w:rFonts w:ascii="Garamond" w:hAnsi="Garamond" w:cs="Times New Roman"/>
          <w:b/>
          <w:b/>
          <w:u w:val="single"/>
        </w:rPr>
      </w:pPr>
      <w:r>
        <w:rPr>
          <w:rFonts w:cs="Times New Roman" w:ascii="Garamond" w:hAnsi="Garamond"/>
          <w:b/>
          <w:u w:val="single"/>
        </w:rPr>
        <w:t>COMPLETEZZA RISPETTO AGLI UFFICI PERIFERICI</w:t>
      </w:r>
    </w:p>
    <w:p>
      <w:pPr>
        <w:pStyle w:val="Normal"/>
        <w:spacing w:lineRule="auto" w:line="360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Il dato pubblicato è riferito a tutti gli uffici periferici?</w:t>
      </w:r>
    </w:p>
    <w:p>
      <w:pPr>
        <w:pStyle w:val="Normal"/>
        <w:tabs>
          <w:tab w:val="left" w:pos="-142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 xml:space="preserve">Il presente dato deve essere attestato </w:t>
      </w:r>
      <w:r>
        <w:rPr>
          <w:rFonts w:ascii="Garamond" w:hAnsi="Garamond"/>
          <w:b/>
          <w:u w:val="single"/>
        </w:rPr>
        <w:t>esclusivamente</w:t>
      </w:r>
      <w:r>
        <w:rPr>
          <w:rFonts w:ascii="Garamond" w:hAnsi="Garamond"/>
        </w:rPr>
        <w:t xml:space="preserve"> con riferimento ai Ministeri e agli Enti pubblici nazionali con uffici periferici. Per tutte le altre amministrazioni ed enti deve essere indicato il valore “n/a”. </w:t>
      </w:r>
    </w:p>
    <w:p>
      <w:pPr>
        <w:pStyle w:val="Normal"/>
        <w:tabs>
          <w:tab w:val="left" w:pos="-142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Considerata la numerosità degli uffici periferici, gli OIV, o gli altri organismi con funzioni analoghe, concentrano le loro verifiche su un campione rappresentativo di uffici autonomamente selezionato che deve comprendere almeno il 20% degli uffici periferici esistenti.</w:t>
      </w:r>
    </w:p>
    <w:p>
      <w:pPr>
        <w:pStyle w:val="Normal"/>
        <w:tabs>
          <w:tab w:val="left" w:pos="-142" w:leader="none"/>
        </w:tabs>
        <w:spacing w:lineRule="auto" w:line="360" w:before="0" w:after="0"/>
        <w:rPr>
          <w:rFonts w:ascii="Garamond" w:hAnsi="Garamond"/>
        </w:rPr>
      </w:pPr>
      <w:r>
        <w:rPr>
          <w:rFonts w:ascii="Garamond" w:hAnsi="Garamond"/>
        </w:rPr>
        <w:t>L’elenco degli uffici selezionati e il relativo criterio di selezione devono essere inseriti all’interno dell’</w:t>
      </w:r>
      <w:r>
        <w:rPr>
          <w:rFonts w:ascii="Garamond" w:hAnsi="Garamond"/>
          <w:b/>
        </w:rPr>
        <w:t>Allegato 3</w:t>
      </w:r>
      <w:r>
        <w:rPr>
          <w:rFonts w:ascii="Garamond" w:hAnsi="Garamond"/>
        </w:rPr>
        <w:t>.</w:t>
      </w:r>
    </w:p>
    <w:p>
      <w:pPr>
        <w:pStyle w:val="Normal"/>
        <w:tabs>
          <w:tab w:val="left" w:pos="-142" w:leader="none"/>
        </w:tabs>
        <w:spacing w:lineRule="auto" w:line="360" w:before="240" w:after="0"/>
        <w:rPr>
          <w:rFonts w:ascii="Garamond" w:hAnsi="Garamond"/>
        </w:rPr>
      </w:pPr>
      <w:r>
        <w:rPr>
          <w:rFonts w:ascii="Garamond" w:hAnsi="Garamond"/>
        </w:rPr>
        <w:t>Attribuzione di una scala di valori compresi fra 0 e 3:</w:t>
      </w:r>
    </w:p>
    <w:p>
      <w:pPr>
        <w:pStyle w:val="ListParagraph"/>
        <w:widowControl/>
        <w:numPr>
          <w:ilvl w:val="0"/>
          <w:numId w:val="6"/>
        </w:numPr>
        <w:tabs>
          <w:tab w:val="left" w:pos="-142" w:leader="none"/>
        </w:tabs>
        <w:suppressAutoHyphens w:val="false"/>
        <w:spacing w:lineRule="auto" w:line="360" w:before="0" w:after="0"/>
        <w:ind w:left="720" w:hanging="436"/>
        <w:contextualSpacing/>
        <w:rPr>
          <w:rFonts w:ascii="Garamond" w:hAnsi="Garamond"/>
        </w:rPr>
      </w:pPr>
      <w:r>
        <w:rPr>
          <w:rFonts w:ascii="Garamond" w:hAnsi="Garamond"/>
        </w:rPr>
        <w:t>- il dato relativo agli uffici periferici considerati nel campione selezionato non risulta pubblicato o non è possibile individuare se il dato pubblicato si riferisce ad uno o più uffici periferici;</w:t>
      </w:r>
    </w:p>
    <w:p>
      <w:pPr>
        <w:pStyle w:val="ListParagraph"/>
        <w:widowControl/>
        <w:numPr>
          <w:ilvl w:val="0"/>
          <w:numId w:val="6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dato fa riferimento ad una percentuale di uffici periferici (del campione) compresa fra l’1 e il 33%;</w:t>
      </w:r>
    </w:p>
    <w:p>
      <w:pPr>
        <w:pStyle w:val="ListParagraph"/>
        <w:widowControl/>
        <w:numPr>
          <w:ilvl w:val="0"/>
          <w:numId w:val="6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ascii="Garamond" w:hAnsi="Garamond"/>
        </w:rPr>
        <w:t>- il dato fa riferimento ad una percentuale di uffici periferici (del campione) compresa fra il 34 e il 66%;</w:t>
      </w:r>
    </w:p>
    <w:p>
      <w:pPr>
        <w:pStyle w:val="ListParagraph"/>
        <w:widowControl/>
        <w:numPr>
          <w:ilvl w:val="0"/>
          <w:numId w:val="6"/>
        </w:numPr>
        <w:tabs>
          <w:tab w:val="left" w:pos="-142" w:leader="none"/>
        </w:tabs>
        <w:suppressAutoHyphens w:val="false"/>
        <w:spacing w:lineRule="auto" w:line="360" w:before="0" w:after="0"/>
        <w:ind w:left="709" w:hanging="425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  <w:t xml:space="preserve">- </w:t>
      </w:r>
      <w:r>
        <w:rPr>
          <w:rFonts w:ascii="Garamond" w:hAnsi="Garamond"/>
        </w:rPr>
        <w:t>il dato fa riferimento ad una percentuale di uffici periferici (del campione) compresa fra il 67 e il 100%.</w:t>
      </w:r>
    </w:p>
    <w:p>
      <w:pPr>
        <w:pStyle w:val="Normal"/>
        <w:widowControl/>
        <w:tabs>
          <w:tab w:val="left" w:pos="-142" w:leader="none"/>
        </w:tabs>
        <w:suppressAutoHyphens w:val="false"/>
        <w:spacing w:lineRule="auto" w:line="360" w:before="0" w:after="0"/>
        <w:contextualSpacing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widowControl/>
        <w:tabs>
          <w:tab w:val="left" w:pos="-142" w:leader="none"/>
        </w:tabs>
        <w:suppressAutoHyphens w:val="false"/>
        <w:spacing w:lineRule="auto" w:line="360"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9753528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cs="Times New Roman"/>
        <w:b/>
        <w:b/>
      </w:rPr>
    </w:pPr>
    <w:r>
      <w:rPr>
        <w:b/>
      </w:rPr>
      <w:t xml:space="preserve">Allegato 4 alla </w:t>
    </w:r>
    <w:r>
      <w:rPr>
        <w:rFonts w:cs="Times New Roman"/>
        <w:b/>
      </w:rPr>
      <w:t>delibera n. 141/2018</w:t>
    </w:r>
  </w:p>
  <w:p>
    <w:pPr>
      <w:pStyle w:val="Intestazione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33f8"/>
    <w:pPr>
      <w:widowControl w:val="false"/>
      <w:suppressAutoHyphens w:val="true"/>
      <w:bidi w:val="0"/>
      <w:spacing w:lineRule="auto" w:line="240" w:before="0" w:after="120"/>
      <w:jc w:val="both"/>
    </w:pPr>
    <w:rPr>
      <w:rFonts w:ascii="Times New Roman" w:hAnsi="Times New Roman" w:eastAsia="Times New Roman" w:cs="Cambria"/>
      <w:color w:val="auto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uiPriority w:val="99"/>
    <w:semiHidden/>
    <w:qFormat/>
    <w:rsid w:val="008833f8"/>
    <w:rPr>
      <w:vertAlign w:val="superscript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8833f8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link w:val="Testonotaapidipagina"/>
    <w:uiPriority w:val="99"/>
    <w:semiHidden/>
    <w:qFormat/>
    <w:locked/>
    <w:rsid w:val="008833f8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c35396"/>
    <w:rPr>
      <w:rFonts w:ascii="Times New Roman" w:hAnsi="Times New Roman" w:eastAsia="Times New Roman" w:cs="Times New Roman"/>
      <w:b/>
      <w:bCs/>
      <w:sz w:val="32"/>
      <w:szCs w:val="32"/>
      <w:lang w:eastAsia="ar-SA"/>
    </w:rPr>
  </w:style>
  <w:style w:type="character" w:styleId="IntestazioneCarattere" w:customStyle="1">
    <w:name w:val="Intestazione Carattere"/>
    <w:basedOn w:val="DefaultParagraphFont"/>
    <w:link w:val="Intestazione"/>
    <w:qFormat/>
    <w:rsid w:val="00a6002d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6002d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14006"/>
    <w:rPr>
      <w:rFonts w:ascii="Tahoma" w:hAnsi="Tahoma" w:eastAsia="Times New Roman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14006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f14006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14006"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1"/>
    <w:uiPriority w:val="99"/>
    <w:semiHidden/>
    <w:qFormat/>
    <w:rsid w:val="008833f8"/>
    <w:pPr/>
    <w:rPr/>
  </w:style>
  <w:style w:type="paragraph" w:styleId="ListParagraph">
    <w:name w:val="List Paragraph"/>
    <w:basedOn w:val="Normal"/>
    <w:uiPriority w:val="34"/>
    <w:qFormat/>
    <w:rsid w:val="008833f8"/>
    <w:pPr>
      <w:ind w:left="357" w:hanging="357"/>
    </w:pPr>
    <w:rPr/>
  </w:style>
  <w:style w:type="paragraph" w:styleId="Titoloprincipale">
    <w:name w:val="Title"/>
    <w:basedOn w:val="Normal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sz w:val="32"/>
      <w:szCs w:val="32"/>
    </w:rPr>
  </w:style>
  <w:style w:type="paragraph" w:styleId="Intestazione">
    <w:name w:val="Header"/>
    <w:basedOn w:val="Normal"/>
    <w:link w:val="IntestazioneCarattere"/>
    <w:unhideWhenUsed/>
    <w:rsid w:val="00a6002d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6002d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4006"/>
    <w:pPr>
      <w:spacing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14006"/>
    <w:pPr/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f1400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B786-ACF8-40FD-8F37-6F51C3F2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LibreOffice/5.3.2.2$Windows_x86 LibreOffice_project/6cd4f1ef626f15116896b1d8e1398b56da0d0ee1</Application>
  <Pages>4</Pages>
  <Words>972</Words>
  <Characters>5034</Characters>
  <CharactersWithSpaces>5939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2014-11-11T14:52:00Z</dcterms:created>
  <dc:creator>i.siciliani</dc:creator>
  <dc:description/>
  <dc:language>it-IT</dc:language>
  <cp:lastModifiedBy>p.adami</cp:lastModifiedBy>
  <cp:lastPrinted>2018-03-12T12:58:23Z</cp:lastPrinted>
  <dcterms:modified xsi:type="dcterms:W3CDTF">2018-02-28T15:59:00Z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